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Мягкая мебель изготовлена в соответствии с требованиями технического регламента Таможенного союза ТР ТС 025/2012.</w:t>
      </w:r>
    </w:p>
    <w:p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Гарантийные обязательства:</w:t>
      </w:r>
    </w:p>
    <w:p>
      <w:pPr>
        <w:pStyle w:val="9"/>
        <w:numPr>
          <w:ilvl w:val="0"/>
          <w:numId w:val="1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Распространяется на мебель, указанную в гарантийном талоне.</w:t>
      </w:r>
    </w:p>
    <w:p>
      <w:pPr>
        <w:pStyle w:val="9"/>
        <w:numPr>
          <w:ilvl w:val="0"/>
          <w:numId w:val="1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Ремонт предоставляется в течение гарантийного срока эксплуатации при соблюдении правил транспортировки, хранения, сборки, ухода и эксплуатации изделия.</w:t>
      </w:r>
    </w:p>
    <w:p>
      <w:pPr>
        <w:pStyle w:val="9"/>
        <w:numPr>
          <w:ilvl w:val="0"/>
          <w:numId w:val="1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Гарантийный срок 18 месяцев.</w:t>
      </w:r>
    </w:p>
    <w:p>
      <w:pPr>
        <w:pStyle w:val="9"/>
        <w:numPr>
          <w:ilvl w:val="0"/>
          <w:numId w:val="1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Основанием для гарантийного ремонта служит гарантийный талон и паспорт на изделие с проставленной датой изготовления.</w:t>
      </w:r>
    </w:p>
    <w:p>
      <w:pPr>
        <w:pStyle w:val="9"/>
        <w:numPr>
          <w:ilvl w:val="0"/>
          <w:numId w:val="1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Гарантийное обслуживание включает в себя проведение ремонтных работ и замену дефектных частей.</w:t>
      </w:r>
    </w:p>
    <w:p>
      <w:pPr>
        <w:pStyle w:val="9"/>
        <w:numPr>
          <w:ilvl w:val="0"/>
          <w:numId w:val="1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Претензии по внешнему виду изделия, не комплекту, а также несоответствию мебели заказу принимаются непосредственно при передаче товара.</w:t>
      </w:r>
    </w:p>
    <w:p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Гарантия не распространяется в случае:</w:t>
      </w:r>
    </w:p>
    <w:p>
      <w:pPr>
        <w:pStyle w:val="9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Истечения гарантийного срока.</w:t>
      </w:r>
    </w:p>
    <w:p>
      <w:pPr>
        <w:pStyle w:val="9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Нарушения правил хранения, ухода и эксплуатации изделия.</w:t>
      </w:r>
    </w:p>
    <w:p>
      <w:pPr>
        <w:pStyle w:val="9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Наличие в изделии механических повреждений.</w:t>
      </w:r>
    </w:p>
    <w:p>
      <w:pPr>
        <w:pStyle w:val="9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Нанесение ущерба изделию в результате умышленных действий потребителя.</w:t>
      </w:r>
    </w:p>
    <w:p>
      <w:pPr>
        <w:pStyle w:val="9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Наличия следов постороннего вмешательства в изделие или ремонта самостоятельно, либо организациями и др. лицами.</w:t>
      </w:r>
    </w:p>
    <w:p>
      <w:pPr>
        <w:pStyle w:val="9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Внесение покупателем изменений в конструкцию изделия.</w:t>
      </w:r>
    </w:p>
    <w:p>
      <w:pPr>
        <w:pStyle w:val="9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Использования изделия не по его функциональному назначению.</w:t>
      </w:r>
    </w:p>
    <w:p>
      <w:pPr>
        <w:pStyle w:val="9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Обнаружения следов воздействия жидкостей, химических средств, повышенных температур (утюг, огонь и т.п.), повреждений животными и механических воздействий.</w:t>
      </w:r>
    </w:p>
    <w:p>
      <w:pPr>
        <w:pStyle w:val="9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Появление дефектов мебельных чехлов, полученных в результате неправильного ухода.</w:t>
      </w:r>
    </w:p>
    <w:p>
      <w:pPr>
        <w:pStyle w:val="9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Нанесение ущерба изделию в следствие обстоятельств непреодолимой силы (стихий, пожар, наводнение)</w:t>
      </w:r>
    </w:p>
    <w:p>
      <w:pPr>
        <w:pStyle w:val="9"/>
        <w:spacing w:line="240" w:lineRule="auto"/>
        <w:rPr>
          <w:sz w:val="20"/>
          <w:szCs w:val="20"/>
        </w:rPr>
      </w:pP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line="240" w:lineRule="auto"/>
        <w:ind w:left="113" w:right="113"/>
        <w:rPr>
          <w:b/>
          <w:sz w:val="20"/>
          <w:szCs w:val="20"/>
        </w:rPr>
      </w:pPr>
      <w:r>
        <w:rPr>
          <w:b/>
        </w:rPr>
        <w:t>Гарантийный талон: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ind w:left="113" w:right="113"/>
        <w:rPr>
          <w:sz w:val="20"/>
          <w:szCs w:val="20"/>
        </w:rPr>
      </w:pPr>
      <w:r>
        <w:rPr>
          <w:sz w:val="20"/>
          <w:szCs w:val="20"/>
        </w:rPr>
        <w:t>На</w:t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t>___________________________________________________________________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ind w:left="113" w:right="113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изделия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ind w:left="113" w:right="113"/>
        <w:jc w:val="center"/>
        <w:rPr>
          <w:sz w:val="18"/>
          <w:szCs w:val="18"/>
        </w:rPr>
      </w:pP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ind w:left="113" w:right="113"/>
        <w:rPr>
          <w:sz w:val="18"/>
          <w:szCs w:val="18"/>
        </w:rPr>
      </w:pPr>
      <w:r>
        <w:rPr>
          <w:sz w:val="18"/>
          <w:szCs w:val="18"/>
        </w:rPr>
        <w:t>Номер заказа___________                           Дата изготовления__________________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ind w:left="113" w:right="113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Штамп ОТК   </w:t>
      </w:r>
    </w:p>
    <w:p>
      <w:pPr>
        <w:jc w:val="center"/>
        <w:rPr>
          <w:sz w:val="20"/>
          <w:szCs w:val="20"/>
        </w:rPr>
      </w:pPr>
      <w:r>
        <w:rPr>
          <w:b/>
          <w:sz w:val="40"/>
          <w:szCs w:val="40"/>
          <w:lang w:eastAsia="ru-RU"/>
        </w:rPr>
        <w:t>Инструкция по сборке</w:t>
      </w:r>
    </w:p>
    <w:p>
      <w:pPr>
        <w:jc w:val="center"/>
        <w:rPr>
          <w:sz w:val="20"/>
          <w:szCs w:val="20"/>
        </w:rPr>
      </w:pPr>
      <w:r>
        <w:rPr>
          <w:b/>
          <w:sz w:val="40"/>
          <w:szCs w:val="40"/>
          <w:lang w:eastAsia="ru-RU"/>
        </w:rPr>
        <w:t>Угловой диван Райно</w:t>
      </w:r>
    </w:p>
    <w:p>
      <w:pPr>
        <w:rPr>
          <w:lang w:eastAsia="ru-RU"/>
        </w:rPr>
      </w:pPr>
    </w:p>
    <w:p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4625975" cy="2698750"/>
            <wp:effectExtent l="19050" t="0" r="3175" b="0"/>
            <wp:docPr id="25" name="Рисунок 24" descr="инструкция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инструкция 9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114300" distR="114300">
            <wp:extent cx="4618355" cy="1073785"/>
            <wp:effectExtent l="0" t="0" r="0" b="0"/>
            <wp:docPr id="6" name="Изображение 6" descr="Беру диван 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Беру диван ru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</w:p>
    <w:p>
      <w:pPr>
        <w:spacing w:line="240" w:lineRule="auto"/>
        <w:jc w:val="center"/>
        <w:rPr>
          <w:b/>
          <w:sz w:val="20"/>
          <w:szCs w:val="20"/>
        </w:rPr>
      </w:pPr>
    </w:p>
    <w:p>
      <w:pPr>
        <w:spacing w:line="240" w:lineRule="auto"/>
        <w:jc w:val="center"/>
        <w:rPr>
          <w:b/>
          <w:sz w:val="20"/>
          <w:szCs w:val="20"/>
        </w:rPr>
      </w:pPr>
    </w:p>
    <w:p>
      <w:pPr>
        <w:spacing w:after="0" w:line="240" w:lineRule="auto"/>
        <w:rPr>
          <w:b/>
          <w:sz w:val="40"/>
          <w:szCs w:val="40"/>
          <w:lang w:eastAsia="ru-RU"/>
        </w:rPr>
      </w:pPr>
      <w:r>
        <w:rPr>
          <w:b/>
          <w:sz w:val="40"/>
          <w:szCs w:val="40"/>
          <w:lang w:eastAsia="ru-RU"/>
        </w:rPr>
        <w:t xml:space="preserve">    Паспорт изделия  Гост 19917-2014</w:t>
      </w:r>
    </w:p>
    <w:p>
      <w:pPr>
        <w:spacing w:after="0" w:line="240" w:lineRule="auto"/>
        <w:jc w:val="center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Уважаемый покупатель!!!</w:t>
      </w:r>
    </w:p>
    <w:p>
      <w:pPr>
        <w:spacing w:after="0" w:line="240" w:lineRule="auto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Приобретая продукцию компании </w:t>
      </w:r>
      <w:r>
        <w:rPr>
          <w:sz w:val="20"/>
          <w:szCs w:val="20"/>
          <w:lang w:val="en-US" w:eastAsia="ru-RU"/>
        </w:rPr>
        <w:t>Берудиван</w:t>
      </w:r>
      <w:r>
        <w:rPr>
          <w:sz w:val="20"/>
          <w:szCs w:val="20"/>
          <w:lang w:eastAsia="ru-RU"/>
        </w:rPr>
        <w:t xml:space="preserve"> внимательно ознакомьтесь с инструкцией по сборке и эксплуатации изделия. Перед использованием изделия, после удаления упаковки, придайте мягким элементам оригинальную форму (расправьте подушки, разгладьте складки и придайте правильную форму)</w:t>
      </w:r>
    </w:p>
    <w:p>
      <w:pPr>
        <w:jc w:val="center"/>
        <w:rPr>
          <w:b/>
          <w:lang w:eastAsia="ru-RU"/>
        </w:rPr>
      </w:pPr>
      <w:r>
        <w:rPr>
          <w:b/>
          <w:lang w:eastAsia="ru-RU"/>
        </w:rPr>
        <w:t>Комплектность:</w:t>
      </w:r>
    </w:p>
    <w:p>
      <w:pPr>
        <w:jc w:val="center"/>
        <w:rPr>
          <w:b/>
          <w:lang w:eastAsia="ru-RU"/>
        </w:rPr>
      </w:pPr>
      <w:r>
        <w:rPr>
          <w:b/>
          <w:lang w:eastAsia="ru-RU"/>
        </w:rPr>
        <w:drawing>
          <wp:inline distT="0" distB="0" distL="0" distR="0">
            <wp:extent cx="4419600" cy="3513455"/>
            <wp:effectExtent l="19050" t="0" r="0" b="0"/>
            <wp:docPr id="1" name="Рисунок 0" descr="инструкция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инструкция 10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127" cy="351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1247775" cy="745490"/>
            <wp:effectExtent l="19050" t="0" r="9525" b="0"/>
            <wp:docPr id="2" name="Рисунок 1" descr="фурнит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фурнитура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272" cy="74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485900" cy="859155"/>
            <wp:effectExtent l="19050" t="0" r="0" b="0"/>
            <wp:docPr id="3" name="Рисунок 2" descr="фурнитур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фурнитура2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877" cy="86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074420" cy="952500"/>
            <wp:effectExtent l="19050" t="0" r="0" b="0"/>
            <wp:docPr id="4" name="Рисунок 3" descr="фурнитур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фурнитура3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038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447800" cy="706120"/>
            <wp:effectExtent l="19050" t="0" r="0" b="0"/>
            <wp:docPr id="5" name="Рисунок 4" descr="фурнитур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фурнитура4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994" cy="71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Правила хранения, ухода и эксплуатации: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1. Мебель изготовителя предназначена для использования в помещении, для отдыха (сидя и лежа), при нормальных условиях эксплуатации: температура +15 °С +35 °С, относительная влажность 30-75 %.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2. Поверхность эксплуатации должна быть ровной, мебель на ней должна стоять всеми опорами. Перемещать изделие следует, слегка приподняв его над полом. Следует избегать перемещения изделия волоком или подняв за подлокотники.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3. Не подвергать мебель несвойственной нагрузке: запрещается сидеть на подлокотниках, спинке и изголовье, краях механизма в разложенном состоянии. Не рекомендуется вставать ногами на изделие, прыгать. Нагрузка должна распределяться равномерно и не превышать норму: не более 90 кг на м². Бельевой ящик использовать только для хранения постельных принадлежностей, по объему не превышающих габариты ящика. Максимальная нагрузка на дно бельевого ящика 10 кг. Не допускается применять точечную нагрузку на швы чехла.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4. Во избежание поломки и скрипа механизма раскладывания и его узлов необходимо проводить периодическую смазку и протяжку соединительных и резьбовых элементов изделия.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5. Не допускать длительного воздействия солнечных лучей. Расстояние от источников тепла должно быть не менее 1 м.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6. Чехол не стирать, не отбеливать, не сушить в стиральной машине, не гладить, не подвергать химической чистке.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7. Регулярно проводить чистку тканевых поверхностей от домашней пыли и бытовых загрязнений. Для этого можно обработать мебель пылесосом со всасывающей насадкой, протереть влажной тканью или специальным роликом с липкой поверхностью. Не рекомендуется использовать никакие химические или моющие средства общего назначения, а также агрессивные химические вещества, так как они могут безвозвратно испортить материалы. Во избежание порчи мебельного покрытия настоятельно рекомендуем пользоваться услугами специализированных химчисток.</w:t>
      </w:r>
    </w:p>
    <w:p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Порядок предъявления претензий: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1.Согласно закону о Защите прав потребителей или по согласованию сторон в ином порядке в случаях, предусмотренных законодательством РФ.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2. Претензии по внешнему виду изделия, некомплекту, а также несоответствию заказа принимаются непосредственно при получении изделия. В дальнейшем такие претензии не принимаются, все работы осуществляются только за </w:t>
      </w:r>
      <w:r>
        <w:rPr>
          <w:sz w:val="16"/>
          <w:szCs w:val="16"/>
          <w:lang w:val="ru-RU"/>
        </w:rPr>
        <w:t>счёт</w:t>
      </w:r>
      <w:r>
        <w:rPr>
          <w:sz w:val="16"/>
          <w:szCs w:val="16"/>
        </w:rPr>
        <w:t xml:space="preserve"> покупателя.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3. В случае приобретения </w:t>
      </w:r>
      <w:r>
        <w:rPr>
          <w:sz w:val="16"/>
          <w:szCs w:val="16"/>
          <w:lang w:val="ru-RU"/>
        </w:rPr>
        <w:t>уценённой</w:t>
      </w:r>
      <w:r>
        <w:rPr>
          <w:sz w:val="16"/>
          <w:szCs w:val="16"/>
        </w:rPr>
        <w:t xml:space="preserve"> мебели претензии по качеству и внешнему виду не принимаются.</w:t>
      </w:r>
    </w:p>
    <w:p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Дефектами мебели не являются:</w:t>
      </w:r>
      <w:r>
        <w:rPr>
          <w:sz w:val="20"/>
          <w:szCs w:val="20"/>
        </w:rPr>
        <w:t xml:space="preserve">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1. Разнооттеночность ткани, находящаяся в пределах 2-х тонов, а также изменение оттенков материала в зависимости от различного угла зрения и типа освещения.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2. Следы от метизов и фурнитуры на ткани и/или деталях, оставшиеся после обязательной контрольной сборки изделия на предприятии. 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3. Лёгкие складки на мягких частях изделия, возникающие после снятия нагрузок и исчезающие после лёгкого разглаживания рукой.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4. Сваливание наполнителя </w:t>
      </w:r>
      <w:r>
        <w:rPr>
          <w:sz w:val="16"/>
          <w:szCs w:val="16"/>
          <w:lang w:val="ru-RU"/>
        </w:rPr>
        <w:t>съёмных</w:t>
      </w:r>
      <w:r>
        <w:rPr>
          <w:sz w:val="16"/>
          <w:szCs w:val="16"/>
        </w:rPr>
        <w:t xml:space="preserve"> подушек в процессе транспортировки и эксплуатации, которое устраняется </w:t>
      </w:r>
      <w:r>
        <w:rPr>
          <w:sz w:val="16"/>
          <w:szCs w:val="16"/>
          <w:lang w:val="ru-RU"/>
        </w:rPr>
        <w:t>лёгким</w:t>
      </w:r>
      <w:bookmarkStart w:id="0" w:name="_GoBack"/>
      <w:bookmarkEnd w:id="0"/>
      <w:r>
        <w:rPr>
          <w:sz w:val="16"/>
          <w:szCs w:val="16"/>
        </w:rPr>
        <w:t xml:space="preserve"> взбиванием мягких элементов.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5. Небольшой скрип дивана на основе металлокаркаса.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6. Наличие в элементах мебели особенностей, обусловленных дизайном производителя.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7. Потёртости мебельного покрытия, возникающие при использовании мебели в местах её постоянной эксплуатации.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8. Возможное появление посторонних звуков при нагрузках на каркас, пружинные блоки и механизмы трансформации.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9. Технологический допуск на мягкие элементы изделия в пределах от +1 до +3 см от указанных размеров (необходимо учитывать данные параметры при заказе мебели). </w:t>
      </w: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10. Лёгкий специфический запах материалов и комплектующих новой мебели, который со временем выветрится.</w:t>
      </w: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4625975" cy="3199130"/>
            <wp:effectExtent l="19050" t="0" r="3175" b="0"/>
            <wp:docPr id="23" name="Рисунок 22" descr="инструкция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инструкция 7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4625975" cy="3317240"/>
            <wp:effectExtent l="19050" t="0" r="3175" b="0"/>
            <wp:docPr id="24" name="Рисунок 23" descr="инструкция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инструкция 8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4625975" cy="3145790"/>
            <wp:effectExtent l="19050" t="0" r="3175" b="0"/>
            <wp:docPr id="13" name="Рисунок 12" descr="инструкци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инструкция 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4625975" cy="3449955"/>
            <wp:effectExtent l="19050" t="0" r="3175" b="0"/>
            <wp:docPr id="12" name="Рисунок 11" descr="инструкц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инструкция 2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4625975" cy="3293745"/>
            <wp:effectExtent l="19050" t="0" r="3175" b="0"/>
            <wp:docPr id="14" name="Рисунок 13" descr="инструкци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инструкция 3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lang w:eastAsia="ru-RU"/>
        </w:rPr>
        <w:drawing>
          <wp:inline distT="0" distB="0" distL="0" distR="0">
            <wp:extent cx="4469130" cy="2867025"/>
            <wp:effectExtent l="19050" t="0" r="7188" b="0"/>
            <wp:docPr id="16" name="Рисунок 15" descr="инструкция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инструкция 4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800" cy="286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lang w:eastAsia="ru-RU"/>
        </w:rPr>
        <w:drawing>
          <wp:inline distT="0" distB="0" distL="0" distR="0">
            <wp:extent cx="4625975" cy="3051810"/>
            <wp:effectExtent l="19050" t="0" r="3175" b="0"/>
            <wp:docPr id="19" name="Рисунок 18" descr="инструкция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инструкция 5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lang w:eastAsia="ru-RU"/>
        </w:rPr>
        <w:drawing>
          <wp:inline distT="0" distB="0" distL="0" distR="0">
            <wp:extent cx="4625975" cy="3429635"/>
            <wp:effectExtent l="19050" t="0" r="3175" b="0"/>
            <wp:docPr id="22" name="Рисунок 21" descr="инструкция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инструкция 6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8419" w:h="11906" w:orient="landscape"/>
      <w:pgMar w:top="567" w:right="567" w:bottom="567" w:left="567" w:header="709" w:footer="709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D224AE"/>
    <w:multiLevelType w:val="multilevel"/>
    <w:tmpl w:val="1ED224A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4967CD"/>
    <w:multiLevelType w:val="multilevel"/>
    <w:tmpl w:val="314967C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defaultTabStop w:val="708"/>
  <w:drawingGridHorizontalSpacing w:val="110"/>
  <w:displayHorizontalDrawingGridEvery w:val="2"/>
  <w:characterSpacingControl w:val="doNotCompress"/>
  <w:printTwoOnOne w:val="1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875"/>
    <w:rsid w:val="00042578"/>
    <w:rsid w:val="00096768"/>
    <w:rsid w:val="000B483E"/>
    <w:rsid w:val="000F0D7F"/>
    <w:rsid w:val="00112992"/>
    <w:rsid w:val="0018010D"/>
    <w:rsid w:val="001C6D0E"/>
    <w:rsid w:val="001E1D42"/>
    <w:rsid w:val="001E45CB"/>
    <w:rsid w:val="0020044E"/>
    <w:rsid w:val="00217E11"/>
    <w:rsid w:val="00221E96"/>
    <w:rsid w:val="00236391"/>
    <w:rsid w:val="002374EF"/>
    <w:rsid w:val="002427DE"/>
    <w:rsid w:val="0029157C"/>
    <w:rsid w:val="002A4710"/>
    <w:rsid w:val="002B04E5"/>
    <w:rsid w:val="002E635D"/>
    <w:rsid w:val="002F0BA4"/>
    <w:rsid w:val="00307F50"/>
    <w:rsid w:val="003140F1"/>
    <w:rsid w:val="0038680F"/>
    <w:rsid w:val="003C6B7D"/>
    <w:rsid w:val="003C7F0E"/>
    <w:rsid w:val="003E4377"/>
    <w:rsid w:val="004265FC"/>
    <w:rsid w:val="00442211"/>
    <w:rsid w:val="00445A81"/>
    <w:rsid w:val="00485084"/>
    <w:rsid w:val="004B557A"/>
    <w:rsid w:val="004C1616"/>
    <w:rsid w:val="004C4FCA"/>
    <w:rsid w:val="004F4A82"/>
    <w:rsid w:val="005050C5"/>
    <w:rsid w:val="00520ECF"/>
    <w:rsid w:val="00533749"/>
    <w:rsid w:val="005A2235"/>
    <w:rsid w:val="005B3DD3"/>
    <w:rsid w:val="005E65A5"/>
    <w:rsid w:val="005F463A"/>
    <w:rsid w:val="00643875"/>
    <w:rsid w:val="006C33B0"/>
    <w:rsid w:val="006E3F02"/>
    <w:rsid w:val="006F6008"/>
    <w:rsid w:val="00733E8E"/>
    <w:rsid w:val="00770FE8"/>
    <w:rsid w:val="00794A83"/>
    <w:rsid w:val="007E3F34"/>
    <w:rsid w:val="00825F66"/>
    <w:rsid w:val="00825F7D"/>
    <w:rsid w:val="00825FAD"/>
    <w:rsid w:val="00845637"/>
    <w:rsid w:val="008463CC"/>
    <w:rsid w:val="00871374"/>
    <w:rsid w:val="00884A40"/>
    <w:rsid w:val="00885FB9"/>
    <w:rsid w:val="008A0878"/>
    <w:rsid w:val="008A176B"/>
    <w:rsid w:val="008A5396"/>
    <w:rsid w:val="008E251E"/>
    <w:rsid w:val="00913F8E"/>
    <w:rsid w:val="00954351"/>
    <w:rsid w:val="009820C1"/>
    <w:rsid w:val="0098625C"/>
    <w:rsid w:val="0099080F"/>
    <w:rsid w:val="00996AD4"/>
    <w:rsid w:val="009F4FB2"/>
    <w:rsid w:val="00A73252"/>
    <w:rsid w:val="00A817B6"/>
    <w:rsid w:val="00AB2360"/>
    <w:rsid w:val="00AC50B7"/>
    <w:rsid w:val="00AD725E"/>
    <w:rsid w:val="00B02C67"/>
    <w:rsid w:val="00B03E9B"/>
    <w:rsid w:val="00B42EF4"/>
    <w:rsid w:val="00B44894"/>
    <w:rsid w:val="00B473E5"/>
    <w:rsid w:val="00B50B3A"/>
    <w:rsid w:val="00BC1F2F"/>
    <w:rsid w:val="00C059DA"/>
    <w:rsid w:val="00C1793F"/>
    <w:rsid w:val="00C3695D"/>
    <w:rsid w:val="00C51D21"/>
    <w:rsid w:val="00C634E5"/>
    <w:rsid w:val="00C65C49"/>
    <w:rsid w:val="00C716A7"/>
    <w:rsid w:val="00CA1370"/>
    <w:rsid w:val="00CE6610"/>
    <w:rsid w:val="00CF593B"/>
    <w:rsid w:val="00D02C7D"/>
    <w:rsid w:val="00D3760B"/>
    <w:rsid w:val="00D44E04"/>
    <w:rsid w:val="00D45542"/>
    <w:rsid w:val="00D47FB0"/>
    <w:rsid w:val="00D60674"/>
    <w:rsid w:val="00DB1B9F"/>
    <w:rsid w:val="00DC44F2"/>
    <w:rsid w:val="00DD7B99"/>
    <w:rsid w:val="00E01832"/>
    <w:rsid w:val="00E232D3"/>
    <w:rsid w:val="00E46010"/>
    <w:rsid w:val="00E470A7"/>
    <w:rsid w:val="00E732A1"/>
    <w:rsid w:val="00E75B67"/>
    <w:rsid w:val="00EE7A3D"/>
    <w:rsid w:val="00F47F79"/>
    <w:rsid w:val="00F62882"/>
    <w:rsid w:val="00F677D9"/>
    <w:rsid w:val="00FA5AEF"/>
    <w:rsid w:val="00FB106C"/>
    <w:rsid w:val="00FD0A1B"/>
    <w:rsid w:val="3E6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basedOn w:val="1"/>
    <w:next w:val="1"/>
    <w:link w:val="10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3">
    <w:name w:val="heading 4"/>
    <w:basedOn w:val="1"/>
    <w:next w:val="1"/>
    <w:link w:val="11"/>
    <w:qFormat/>
    <w:uiPriority w:val="9"/>
    <w:pPr>
      <w:spacing w:before="100" w:beforeAutospacing="1" w:after="100" w:afterAutospacing="1" w:line="240" w:lineRule="auto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8">
    <w:name w:val="Текст выноски Знак"/>
    <w:basedOn w:val="4"/>
    <w:link w:val="6"/>
    <w:semiHidden/>
    <w:uiPriority w:val="99"/>
    <w:rPr>
      <w:rFonts w:ascii="Tahoma" w:hAnsi="Tahoma" w:cs="Tahoma"/>
      <w:sz w:val="16"/>
      <w:szCs w:val="16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Заголовок 2 Знак"/>
    <w:basedOn w:val="4"/>
    <w:link w:val="2"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customStyle="1" w:styleId="11">
    <w:name w:val="Заголовок 4 Знак"/>
    <w:basedOn w:val="4"/>
    <w:link w:val="3"/>
    <w:uiPriority w:val="9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customStyle="1" w:styleId="12">
    <w:name w:val="subtitle_logo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D40E45-EDE9-473E-9FD9-2D9B130E1BD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880</Words>
  <Characters>5018</Characters>
  <Lines>41</Lines>
  <Paragraphs>11</Paragraphs>
  <TotalTime>2</TotalTime>
  <ScaleCrop>false</ScaleCrop>
  <LinksUpToDate>false</LinksUpToDate>
  <CharactersWithSpaces>5887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2021-02-03T12:15:00Z</dcterms:created>
  <dc:creator>User</dc:creator>
  <cp:lastModifiedBy>User</cp:lastModifiedBy>
  <cp:lastPrinted>2020-12-23T06:45:00Z</cp:lastPrinted>
  <dcterms:modified xsi:type="dcterms:W3CDTF">2023-05-26T06:46:10Z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F3E4C308DCD7453EAC71C2A883D1C276</vt:lpwstr>
  </property>
</Properties>
</file>